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3119"/>
        <w:gridCol w:w="5953"/>
      </w:tblGrid>
      <w:tr>
        <w:tc>
          <w:tcPr>
            <w:tcW w:w="3119" w:type="dxa"/>
          </w:tcPr>
          <w:p>
            <w:pPr>
              <w:keepNext/>
              <w:overflowPunct w:val="0"/>
              <w:autoSpaceDE w:val="0"/>
              <w:autoSpaceDN w:val="0"/>
              <w:adjustRightInd w:val="0"/>
              <w:jc w:val="center"/>
              <w:textAlignment w:val="baseline"/>
              <w:rPr>
                <w:b/>
                <w:sz w:val="26"/>
                <w:szCs w:val="26"/>
              </w:rPr>
            </w:pPr>
            <w:r>
              <w:rPr>
                <w:b/>
                <w:sz w:val="26"/>
                <w:szCs w:val="26"/>
              </w:rPr>
              <w:t>ỦY BAN NHÂN DÂN</w:t>
            </w:r>
          </w:p>
          <w:p>
            <w:pPr>
              <w:keepNext/>
              <w:overflowPunct w:val="0"/>
              <w:autoSpaceDE w:val="0"/>
              <w:autoSpaceDN w:val="0"/>
              <w:adjustRightInd w:val="0"/>
              <w:jc w:val="center"/>
              <w:textAlignment w:val="baseline"/>
              <w:rPr>
                <w:b/>
                <w:sz w:val="26"/>
                <w:szCs w:val="26"/>
              </w:rPr>
            </w:pPr>
            <w:r>
              <w:rPr>
                <w:b/>
                <w:sz w:val="26"/>
                <w:szCs w:val="26"/>
              </w:rPr>
              <w:t>PHƯỜNG VÂN HÀ</w:t>
            </w:r>
          </w:p>
          <w:p>
            <w:pPr>
              <w:keepNext/>
              <w:overflowPunct w:val="0"/>
              <w:autoSpaceDE w:val="0"/>
              <w:autoSpaceDN w:val="0"/>
              <w:adjustRightInd w:val="0"/>
              <w:jc w:val="center"/>
              <w:textAlignment w:val="baseline"/>
            </w:pPr>
            <w:r>
              <w:rPr>
                <w:b/>
                <w:noProof/>
              </w:rPr>
              <mc:AlternateContent>
                <mc:Choice Requires="wps">
                  <w:drawing>
                    <wp:anchor distT="0" distB="0" distL="114300" distR="114300" simplePos="0" relativeHeight="251659264" behindDoc="0" locked="0" layoutInCell="1" allowOverlap="1">
                      <wp:simplePos x="0" y="0"/>
                      <wp:positionH relativeFrom="column">
                        <wp:posOffset>508635</wp:posOffset>
                      </wp:positionH>
                      <wp:positionV relativeFrom="paragraph">
                        <wp:posOffset>14605</wp:posOffset>
                      </wp:positionV>
                      <wp:extent cx="7715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BE554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1.15pt" to="100.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"/>
                  </w:pict>
                </mc:Fallback>
              </mc:AlternateContent>
            </w:r>
          </w:p>
          <w:p>
            <w:pPr>
              <w:keepNext/>
              <w:overflowPunct w:val="0"/>
              <w:autoSpaceDE w:val="0"/>
              <w:autoSpaceDN w:val="0"/>
              <w:adjustRightInd w:val="0"/>
              <w:jc w:val="center"/>
              <w:textAlignment w:val="baseline"/>
              <w:rPr>
                <w:sz w:val="20"/>
                <w:szCs w:val="20"/>
              </w:rPr>
            </w:pPr>
            <w:r>
              <w:rPr>
                <w:szCs w:val="20"/>
              </w:rPr>
              <w:t>Số:         /QĐ-XPHC</w:t>
            </w:r>
          </w:p>
        </w:tc>
        <w:tc>
          <w:tcPr>
            <w:tcW w:w="5953" w:type="dxa"/>
          </w:tcPr>
          <w:p>
            <w:pPr>
              <w:keepNext/>
              <w:overflowPunct w:val="0"/>
              <w:autoSpaceDE w:val="0"/>
              <w:autoSpaceDN w:val="0"/>
              <w:adjustRightInd w:val="0"/>
              <w:jc w:val="center"/>
              <w:textAlignment w:val="baseline"/>
              <w:rPr>
                <w:b/>
                <w:sz w:val="26"/>
              </w:rPr>
            </w:pPr>
            <w:r>
              <w:rPr>
                <w:b/>
                <w:sz w:val="26"/>
              </w:rPr>
              <w:t xml:space="preserve">CỘNG HÒA XÃ HỘI CHỦ NGHĨA VIỆT </w:t>
            </w:r>
            <w:smartTag w:uri="urn:schemas-microsoft-com:office:smarttags" w:element="country-region">
              <w:smartTag w:uri="urn:schemas-microsoft-com:office:smarttags" w:element="place">
                <w:r>
                  <w:rPr>
                    <w:b/>
                    <w:sz w:val="26"/>
                  </w:rPr>
                  <w:t>NAM</w:t>
                </w:r>
              </w:smartTag>
            </w:smartTag>
          </w:p>
          <w:p>
            <w:pPr>
              <w:keepNext/>
              <w:overflowPunct w:val="0"/>
              <w:autoSpaceDE w:val="0"/>
              <w:autoSpaceDN w:val="0"/>
              <w:adjustRightInd w:val="0"/>
              <w:jc w:val="center"/>
              <w:textAlignment w:val="baseline"/>
            </w:pPr>
            <w:r>
              <w:rPr>
                <w:b/>
              </w:rPr>
              <w:t>Độc lập - Tự do - Hạnh phúc</w:t>
            </w:r>
          </w:p>
          <w:p>
            <w:pPr>
              <w:tabs>
                <w:tab w:val="left" w:pos="1660"/>
                <w:tab w:val="left" w:pos="3900"/>
              </w:tabs>
              <w:overflowPunct w:val="0"/>
              <w:autoSpaceDE w:val="0"/>
              <w:autoSpaceDN w:val="0"/>
              <w:adjustRightInd w:val="0"/>
              <w:ind w:firstLine="567"/>
              <w:jc w:val="center"/>
              <w:textAlignment w:val="baseline"/>
            </w:pPr>
            <w:r>
              <w:rPr>
                <w:b/>
                <w:noProof/>
              </w:rPr>
              <mc:AlternateContent>
                <mc:Choice Requires="wps">
                  <w:drawing>
                    <wp:anchor distT="0" distB="0" distL="114300" distR="114300" simplePos="0" relativeHeight="251660288" behindDoc="0" locked="0" layoutInCell="1" allowOverlap="1">
                      <wp:simplePos x="0" y="0"/>
                      <wp:positionH relativeFrom="column">
                        <wp:posOffset>709295</wp:posOffset>
                      </wp:positionH>
                      <wp:positionV relativeFrom="paragraph">
                        <wp:posOffset>9525</wp:posOffset>
                      </wp:positionV>
                      <wp:extent cx="22193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5BCB2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75pt" to="230.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"/>
                  </w:pict>
                </mc:Fallback>
              </mc:AlternateContent>
            </w:r>
          </w:p>
          <w:p>
            <w:pPr>
              <w:tabs>
                <w:tab w:val="left" w:pos="3900"/>
              </w:tabs>
              <w:overflowPunct w:val="0"/>
              <w:autoSpaceDE w:val="0"/>
              <w:autoSpaceDN w:val="0"/>
              <w:adjustRightInd w:val="0"/>
              <w:ind w:firstLine="567"/>
              <w:jc w:val="center"/>
              <w:textAlignment w:val="baseline"/>
              <w:rPr>
                <w:i/>
              </w:rPr>
            </w:pPr>
            <w:r>
              <w:rPr>
                <w:i/>
              </w:rPr>
              <w:t xml:space="preserve">Vân Hà, ngày       </w:t>
            </w:r>
            <w:r>
              <w:rPr>
                <w:i/>
                <w:lang w:val="vi-VN"/>
              </w:rPr>
              <w:t xml:space="preserve"> </w:t>
            </w:r>
            <w:r>
              <w:rPr>
                <w:i/>
              </w:rPr>
              <w:t>tháng     năm 2026</w:t>
            </w:r>
          </w:p>
        </w:tc>
      </w:tr>
    </w:tbl>
    <w:p>
      <w:pPr>
        <w:keepNext/>
        <w:snapToGrid w:val="0"/>
        <w:jc w:val="center"/>
        <w:outlineLvl w:val="0"/>
        <w:rPr>
          <w:b/>
          <w:bCs/>
          <w:sz w:val="2"/>
        </w:rPr>
      </w:pPr>
    </w:p>
    <w:p>
      <w:pPr>
        <w:keepNext/>
        <w:snapToGrid w:val="0"/>
        <w:jc w:val="center"/>
        <w:outlineLvl w:val="0"/>
        <w:rPr>
          <w:b/>
          <w:bCs/>
          <w:sz w:val="34"/>
        </w:rPr>
      </w:pPr>
    </w:p>
    <w:p>
      <w:pPr>
        <w:keepNext/>
        <w:snapToGrid w:val="0"/>
        <w:jc w:val="center"/>
        <w:outlineLvl w:val="0"/>
        <w:rPr>
          <w:b/>
          <w:bCs/>
        </w:rPr>
      </w:pPr>
      <w:r>
        <w:rPr>
          <w:b/>
          <w:bCs/>
        </w:rPr>
        <w:t>QUYẾT ĐỊNH</w:t>
      </w:r>
    </w:p>
    <w:p>
      <w:pPr>
        <w:spacing w:line="340" w:lineRule="exact"/>
        <w:jc w:val="center"/>
        <w:rPr>
          <w:b/>
          <w:color w:val="000000"/>
          <w:sz w:val="27"/>
          <w:szCs w:val="27"/>
        </w:rPr>
      </w:pPr>
      <w:r>
        <w:rPr>
          <w:b/>
          <w:color w:val="000000"/>
          <w:sz w:val="27"/>
          <w:szCs w:val="27"/>
        </w:rPr>
        <w:t>Về việc xử phạt vi phạm hành chính trong lĩnh vực đất đai</w:t>
      </w:r>
    </w:p>
    <w:p>
      <w:pPr>
        <w:spacing w:line="340" w:lineRule="exact"/>
        <w:jc w:val="center"/>
        <w:rPr>
          <w:b/>
          <w:color w:val="000000"/>
          <w:sz w:val="27"/>
          <w:szCs w:val="27"/>
          <w:lang w:val="nl-NL"/>
        </w:rPr>
      </w:pPr>
      <w:r>
        <w:rPr>
          <w:b/>
          <w:color w:val="000000"/>
          <w:sz w:val="27"/>
          <w:szCs w:val="27"/>
        </w:rPr>
        <w:t>đối với</w:t>
      </w:r>
      <w:r>
        <w:rPr>
          <w:b/>
          <w:color w:val="000000"/>
          <w:spacing w:val="-1"/>
          <w:sz w:val="27"/>
          <w:szCs w:val="27"/>
        </w:rPr>
        <w:t xml:space="preserve"> </w:t>
      </w:r>
      <w:bookmarkStart w:id="0" w:name="_Hlk211184454"/>
      <w:r>
        <w:rPr>
          <w:b/>
          <w:color w:val="000000"/>
          <w:spacing w:val="-1"/>
          <w:sz w:val="27"/>
          <w:szCs w:val="27"/>
        </w:rPr>
        <w:t>bà Nguyễn Thị Loan</w:t>
      </w:r>
      <w:r>
        <w:rPr>
          <w:b/>
          <w:color w:val="000000"/>
          <w:sz w:val="27"/>
          <w:szCs w:val="27"/>
        </w:rPr>
        <w:t xml:space="preserve">, sinh năm 1959, địa chỉ: </w:t>
      </w:r>
      <w:r>
        <w:rPr>
          <w:b/>
          <w:color w:val="000000"/>
          <w:sz w:val="27"/>
          <w:szCs w:val="27"/>
          <w:lang w:val="nl-NL"/>
        </w:rPr>
        <w:t>Tổ dân phố Thần Chúc,</w:t>
      </w:r>
    </w:p>
    <w:p>
      <w:pPr>
        <w:spacing w:line="340" w:lineRule="exact"/>
        <w:jc w:val="center"/>
        <w:rPr>
          <w:b/>
          <w:color w:val="000000"/>
          <w:sz w:val="27"/>
          <w:szCs w:val="27"/>
          <w:vertAlign w:val="superscript"/>
          <w:lang w:val="fr-FR"/>
        </w:rPr>
      </w:pPr>
      <w:r>
        <w:rPr>
          <w:b/>
          <w:color w:val="000000"/>
          <w:sz w:val="27"/>
          <w:szCs w:val="27"/>
          <w:lang w:val="nl-NL"/>
        </w:rPr>
        <w:t>phường Vân Hà, tỉnh Bắc Ninh</w:t>
      </w:r>
      <w:bookmarkEnd w:id="0"/>
    </w:p>
    <w:p>
      <w:pPr>
        <w:pStyle w:val="NormalWeb"/>
        <w:spacing w:before="0" w:beforeAutospacing="0" w:after="0" w:afterAutospacing="0"/>
        <w:ind w:firstLine="561"/>
        <w:jc w:val="center"/>
        <w:rPr>
          <w:i/>
          <w:iCs/>
          <w:sz w:val="4"/>
          <w:szCs w:val="28"/>
        </w:rPr>
      </w:pPr>
      <w:r>
        <w:rPr>
          <w:rFonts w:eastAsia="MS Mincho"/>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2167890</wp:posOffset>
                </wp:positionH>
                <wp:positionV relativeFrom="paragraph">
                  <wp:posOffset>17145</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69FFA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1.35pt" to="292.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Dk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P6RQ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"/>
            </w:pict>
          </mc:Fallback>
        </mc:AlternateContent>
      </w:r>
    </w:p>
    <w:p>
      <w:pPr>
        <w:pStyle w:val="NormalWeb"/>
        <w:spacing w:before="0" w:beforeAutospacing="0" w:after="0" w:afterAutospacing="0"/>
        <w:jc w:val="center"/>
        <w:rPr>
          <w:b/>
          <w:bCs/>
          <w:sz w:val="28"/>
          <w:szCs w:val="28"/>
        </w:rPr>
      </w:pPr>
    </w:p>
    <w:p>
      <w:pPr>
        <w:pStyle w:val="NormalWeb"/>
        <w:spacing w:before="0" w:beforeAutospacing="0" w:after="0" w:afterAutospacing="0"/>
        <w:jc w:val="center"/>
        <w:rPr>
          <w:b/>
          <w:bCs/>
          <w:sz w:val="28"/>
          <w:szCs w:val="28"/>
        </w:rPr>
      </w:pPr>
      <w:r>
        <w:rPr>
          <w:b/>
          <w:bCs/>
          <w:sz w:val="28"/>
          <w:szCs w:val="28"/>
        </w:rPr>
        <w:t>CHỦ TỊCH ỦY BAN NHÂN DÂN PHƯỜNG VÂN HÀ</w:t>
      </w:r>
    </w:p>
    <w:p>
      <w:pPr>
        <w:pStyle w:val="NormalWeb"/>
        <w:spacing w:before="60" w:beforeAutospacing="0" w:after="60" w:afterAutospacing="0"/>
        <w:jc w:val="center"/>
        <w:rPr>
          <w:b/>
          <w:bCs/>
          <w:sz w:val="28"/>
          <w:szCs w:val="28"/>
        </w:rPr>
      </w:pPr>
    </w:p>
    <w:p>
      <w:pPr>
        <w:pStyle w:val="NoSpacing"/>
        <w:spacing w:before="60" w:after="60"/>
        <w:ind w:firstLine="567"/>
        <w:jc w:val="both"/>
        <w:rPr>
          <w:i/>
          <w:iCs/>
          <w:lang w:val="vi-VN"/>
        </w:rPr>
      </w:pPr>
      <w:r>
        <w:rPr>
          <w:i/>
          <w:iCs/>
          <w:lang w:val="vi-VN"/>
        </w:rPr>
        <w:t>Căn cứ Điều 57, Điều 68, Điều 70, Điều 78, Điều 85 Luật Xử lý vi phạm hành chính (được sửa đổi, bổ sung năm 2020 và năm 2025);</w:t>
      </w:r>
    </w:p>
    <w:p>
      <w:pPr>
        <w:pStyle w:val="NoSpacing"/>
        <w:spacing w:before="60" w:after="60"/>
        <w:ind w:firstLine="567"/>
        <w:jc w:val="both"/>
        <w:rPr>
          <w:i/>
          <w:iCs/>
          <w:lang w:val="vi-VN"/>
        </w:rPr>
      </w:pPr>
      <w:r>
        <w:rPr>
          <w:i/>
          <w:iCs/>
          <w:lang w:val="vi-VN"/>
        </w:rPr>
        <w:t>Căn cứ Nghị định số 118/2021/NĐ-CP ngày 23/12/2021 của Chính phủ quy định chi tiết một số điều và biện pháp thi hành Luật Xử lý vi phạm hành chính; Nghị định số 68/2025/NĐ-CP ngày 18/3/2025 của Chính phủ về sửa đổi, bổ sung một số điều của Nghị định số 118/2021/NĐ-CP ngày 23/12/2021 của Chính phủ quy định chi tiết một số điều và biện pháp thi hành Luật Xử lý vi phạm hành chính; Nghị định số 190/2025/NĐ-CP ngày 01/7/2025 của Chính phủ sửa đổi, bổ sung một số điều của Nghị định số 118/2021/NĐ-CP ngày 23/12/2021 của Chính phủ quy định chi tiết một số điều và biện pháp thi hành Luật Xử lý vi phạm hành chính được sửa đổi, bổ sung theo Nghị định số 68/2025/NĐ-CP ngày 18/3/2025 của Chính phủ và nghị định số 120/2021/NĐ-CP ngày 24/12/2021 của Chính phủ quy định chế độ áp dụng biện pháp xử lý hành chính giáo dục tại xã, phường, thị trấn;</w:t>
      </w:r>
    </w:p>
    <w:p>
      <w:pPr>
        <w:pStyle w:val="NoSpacing"/>
        <w:spacing w:before="60" w:after="60"/>
        <w:ind w:firstLine="567"/>
        <w:jc w:val="both"/>
        <w:rPr>
          <w:i/>
          <w:iCs/>
          <w:lang w:val="vi-VN"/>
        </w:rPr>
      </w:pPr>
      <w:r>
        <w:rPr>
          <w:i/>
          <w:iCs/>
          <w:lang w:val="vi-VN"/>
        </w:rPr>
        <w:t>Căn cứ Nghị định 189/2025/NĐ-CP ngày 01/7/2025 của Chính phủ Quy định chi tiết Luật Xử lý vi phạm hành chính về thẩm quyền xử phạt vì phạm hành chính;</w:t>
      </w:r>
    </w:p>
    <w:p>
      <w:pPr>
        <w:pStyle w:val="NoSpacing"/>
        <w:spacing w:before="60" w:after="60"/>
        <w:ind w:firstLine="567"/>
        <w:jc w:val="both"/>
        <w:rPr>
          <w:i/>
          <w:iCs/>
          <w:lang w:val="vi-VN"/>
        </w:rPr>
      </w:pPr>
      <w:r>
        <w:rPr>
          <w:i/>
          <w:iCs/>
          <w:lang w:val="vi-VN"/>
        </w:rPr>
        <w:t xml:space="preserve">Căn cứ Nghị định số 123/2024/NĐ-CP ngày 04/10/2024 của Chính phủ Quy định về xử phạt vi phạm hành chính trong lĩnh vực đất đai; </w:t>
      </w:r>
    </w:p>
    <w:p>
      <w:pPr>
        <w:pStyle w:val="NoSpacing"/>
        <w:spacing w:before="60" w:after="60"/>
        <w:ind w:firstLine="567"/>
        <w:jc w:val="both"/>
        <w:rPr>
          <w:i/>
        </w:rPr>
      </w:pPr>
      <w:r>
        <w:rPr>
          <w:i/>
        </w:rPr>
        <w:t>Căn cứ Biên bản vi phạm hành chính số 24/BB-VPHC về lĩnh vực đất đai do ông Đoàn Lâm Thanh Hải, chức vụ: Chuyên viên, đơn vị: Phòng Kinh tế, Hạ tầng và Đô thị - phường Vân Hà, lập hồi 09 giờ 00 phút, ngày 02/6/2026 đối với bà Nguyễn Thị Loan, sinh năm 1959, địa chỉ: tổ dân phố Thần Chúc, phường Vân Hà</w:t>
      </w:r>
      <w:r>
        <w:rPr>
          <w:i/>
          <w:highlight w:val="yellow"/>
        </w:rPr>
        <w:t xml:space="preserve"> </w:t>
      </w:r>
      <w:r>
        <w:rPr>
          <w:i/>
        </w:rPr>
        <w:t>tỉnh Bắc Ninh và hồ sơ vụ việc.</w:t>
      </w:r>
    </w:p>
    <w:p>
      <w:pPr>
        <w:keepNext/>
        <w:snapToGrid w:val="0"/>
        <w:spacing w:before="60" w:after="60"/>
        <w:jc w:val="center"/>
        <w:rPr>
          <w:b/>
          <w:bCs/>
        </w:rPr>
      </w:pPr>
      <w:r>
        <w:rPr>
          <w:b/>
          <w:bCs/>
        </w:rPr>
        <w:t>QUYẾT ĐỊNH:</w:t>
      </w:r>
    </w:p>
    <w:p>
      <w:pPr>
        <w:keepNext/>
        <w:tabs>
          <w:tab w:val="left" w:pos="567"/>
        </w:tabs>
        <w:snapToGrid w:val="0"/>
        <w:spacing w:before="60" w:after="60"/>
        <w:jc w:val="both"/>
        <w:rPr>
          <w:b/>
          <w:bCs/>
        </w:rPr>
      </w:pPr>
      <w:r>
        <w:rPr>
          <w:b/>
          <w:bCs/>
        </w:rPr>
        <w:tab/>
      </w:r>
      <w:r>
        <w:rPr>
          <w:b/>
          <w:bCs/>
        </w:rPr>
        <w:tab/>
        <w:t xml:space="preserve">Điều 1. </w:t>
      </w:r>
    </w:p>
    <w:p>
      <w:pPr>
        <w:pStyle w:val="ListParagraph"/>
        <w:keepNext/>
        <w:numPr>
          <w:ilvl w:val="0"/>
          <w:numId w:val="4"/>
        </w:numPr>
        <w:tabs>
          <w:tab w:val="left" w:pos="567"/>
        </w:tabs>
        <w:snapToGrid w:val="0"/>
        <w:spacing w:before="60" w:after="60"/>
        <w:jc w:val="both"/>
      </w:pPr>
      <w:r>
        <w:t>Xử phạt vi phạm hành chính đối với ông</w:t>
      </w:r>
      <w:r>
        <w:rPr>
          <w:lang w:val="vi-VN"/>
        </w:rPr>
        <w:t xml:space="preserve"> (bà)</w:t>
      </w:r>
      <w:r>
        <w:t xml:space="preserve"> có tên sau:</w:t>
      </w:r>
    </w:p>
    <w:p>
      <w:pPr>
        <w:spacing w:before="60" w:after="60"/>
        <w:ind w:firstLine="570"/>
        <w:jc w:val="both"/>
      </w:pPr>
      <w:r>
        <w:rPr>
          <w:spacing w:val="-6"/>
        </w:rPr>
        <w:t xml:space="preserve">Họ và tên: </w:t>
      </w:r>
      <w:r>
        <w:rPr>
          <w:b/>
        </w:rPr>
        <w:t>Nguyễn Thị Loan,</w:t>
      </w:r>
      <w:r>
        <w:t xml:space="preserve">     </w:t>
      </w:r>
      <w:r>
        <w:tab/>
        <w:t xml:space="preserve">   </w:t>
      </w:r>
      <w:r>
        <w:tab/>
        <w:t>Giới tính: Nữ.</w:t>
      </w:r>
    </w:p>
    <w:p>
      <w:pPr>
        <w:spacing w:before="60" w:after="60"/>
        <w:ind w:firstLine="570"/>
        <w:jc w:val="both"/>
      </w:pPr>
      <w:r>
        <w:t>Ngày, tháng, năm sinh: 01/01/1959;      Quốc tịch: Việt Nam.</w:t>
      </w:r>
    </w:p>
    <w:p>
      <w:pPr>
        <w:spacing w:before="60" w:after="60"/>
        <w:ind w:firstLine="567"/>
        <w:jc w:val="both"/>
        <w:rPr>
          <w:color w:val="000000" w:themeColor="text1"/>
        </w:rPr>
      </w:pPr>
      <w:r>
        <w:rPr>
          <w:color w:val="000000" w:themeColor="text1"/>
        </w:rPr>
        <w:t xml:space="preserve">Nơi ở hiện tại: TDP Thần Chúc, phường Vân Hà, tỉnh Bắc Ninh; </w:t>
      </w:r>
    </w:p>
    <w:p>
      <w:pPr>
        <w:spacing w:before="60" w:after="60"/>
        <w:ind w:firstLine="567"/>
        <w:jc w:val="both"/>
        <w:rPr>
          <w:color w:val="000000" w:themeColor="text1"/>
        </w:rPr>
      </w:pPr>
      <w:r>
        <w:rPr>
          <w:color w:val="000000" w:themeColor="text1"/>
        </w:rPr>
        <w:t xml:space="preserve">Số định danh cá nhân/Hộ chiếu: </w:t>
      </w:r>
      <w:r>
        <w:rPr>
          <w:color w:val="000000" w:themeColor="text1"/>
          <w:lang w:val="fr-FR"/>
        </w:rPr>
        <w:t>024159009030</w:t>
      </w:r>
      <w:r>
        <w:rPr>
          <w:color w:val="000000" w:themeColor="text1"/>
        </w:rPr>
        <w:t xml:space="preserve">, </w:t>
      </w:r>
      <w:r>
        <w:rPr>
          <w:color w:val="000000" w:themeColor="text1"/>
          <w:lang w:val="fr-FR"/>
        </w:rPr>
        <w:t>do Cục CS QLHC về</w:t>
      </w:r>
      <w:r>
        <w:rPr>
          <w:color w:val="000000" w:themeColor="text1"/>
        </w:rPr>
        <w:t xml:space="preserve"> TTXH </w:t>
      </w:r>
      <w:r>
        <w:rPr>
          <w:color w:val="000000" w:themeColor="text1"/>
          <w:lang w:val="fr-FR"/>
        </w:rPr>
        <w:t>cấp ngày 19/4/2022</w:t>
      </w:r>
    </w:p>
    <w:p>
      <w:pPr>
        <w:shd w:val="clear" w:color="auto" w:fill="FFFFFF"/>
        <w:spacing w:before="60" w:after="60"/>
        <w:ind w:firstLine="561"/>
        <w:jc w:val="both"/>
      </w:pPr>
      <w:r>
        <w:rPr>
          <w:color w:val="000000"/>
          <w:bdr w:val="none" w:sz="0" w:space="0" w:color="auto" w:frame="1"/>
        </w:rPr>
        <w:lastRenderedPageBreak/>
        <w:t>2. Đã thực hiện hành vi vi phạm hành chính. Bà Nguyễn Thị Loan</w:t>
      </w:r>
      <w:r>
        <w:t xml:space="preserve">, đã có hành vi chuyển đất nông nghiệp không phải là đất trồng lúa, không phải là đất lâm nghiệp sang đất ở </w:t>
      </w:r>
      <w:r>
        <w:rPr>
          <w:i/>
        </w:rPr>
        <w:t>(thuộc địa giới hành chính của phường)</w:t>
      </w:r>
      <w:r>
        <w:t>, với diện tích 120,0 m</w:t>
      </w:r>
      <w:r>
        <w:rPr>
          <w:vertAlign w:val="superscript"/>
        </w:rPr>
        <w:t>2</w:t>
      </w:r>
      <w:r>
        <w:t xml:space="preserve">, cụ thể: Năm 1998, gia đình bà Nguyễn Thị Loan đã được UBND huyện Việt Yên cấp giấy chứng nhận quyền sử dụng đất </w:t>
      </w:r>
      <w:r>
        <w:rPr>
          <w:i/>
          <w:iCs/>
        </w:rPr>
        <w:t xml:space="preserve">(mang tên hộ ông Nguyễn Văn An nhưng hiện ông An đã chết) </w:t>
      </w:r>
      <w:r>
        <w:t xml:space="preserve">số phát hành Q 610536, số vào sổ 02181/QSĐ/647/1998/QĐ-UB/H ngày 14/12/1998 </w:t>
      </w:r>
      <w:r>
        <w:rPr>
          <w:i/>
        </w:rPr>
        <w:t>(tại thửa đất số 208, tờ bản đồ số 25)</w:t>
      </w:r>
      <w:r>
        <w:t>, diện tích 1.170,0 m</w:t>
      </w:r>
      <w:r>
        <w:rPr>
          <w:vertAlign w:val="superscript"/>
        </w:rPr>
        <w:t>2</w:t>
      </w:r>
      <w:r>
        <w:t>, mục đích đất ao. Nay đo đạc chỉnh lý là thửa đất số 174, tờ bản đồ số 151, diện tích 1.162,6 m</w:t>
      </w:r>
      <w:r>
        <w:rPr>
          <w:vertAlign w:val="superscript"/>
        </w:rPr>
        <w:t>2</w:t>
      </w:r>
      <w:r>
        <w:t>. Do nhu cầu đất ở, nên trong quá trình sử dụng đất năm 1999, gia đình bà Nguyên Thi Loan đã tiến hành san lấp toàn bộ diện tích 1.162,6 m</w:t>
      </w:r>
      <w:r>
        <w:rPr>
          <w:vertAlign w:val="superscript"/>
        </w:rPr>
        <w:t>2</w:t>
      </w:r>
      <w:r>
        <w:t xml:space="preserve"> đã được cấp giấy chứng nhận nêu trên để trồng cây lâu năm và xây dựng công trình phục vụ mục đích để ở. Trong đó diện tích xây dựng các công trình nhà ở là 120,0 m</w:t>
      </w:r>
      <w:r>
        <w:rPr>
          <w:vertAlign w:val="superscript"/>
        </w:rPr>
        <w:t>2</w:t>
      </w:r>
      <w:r>
        <w:t>. Diện tích đất trồng cây lâu năm là 1.042,6 m</w:t>
      </w:r>
      <w:r>
        <w:rPr>
          <w:vertAlign w:val="superscript"/>
        </w:rPr>
        <w:t>2</w:t>
      </w:r>
      <w:r>
        <w:t xml:space="preserve">. Gia đình sử dụng ổn định không tranh chấp đến nay. </w:t>
      </w:r>
      <w:r>
        <w:rPr>
          <w:lang w:val="vi-VN"/>
        </w:rPr>
        <w:t>Thời điểm vi phạm năm 1999</w:t>
      </w:r>
      <w:r>
        <w:t>.</w:t>
      </w:r>
    </w:p>
    <w:p>
      <w:pPr>
        <w:shd w:val="clear" w:color="auto" w:fill="FFFFFF"/>
        <w:spacing w:before="60" w:after="60"/>
        <w:ind w:firstLine="561"/>
        <w:jc w:val="both"/>
        <w:rPr>
          <w:color w:val="000000"/>
          <w:spacing w:val="-4"/>
        </w:rPr>
      </w:pPr>
      <w:r>
        <w:rPr>
          <w:color w:val="000000"/>
          <w:spacing w:val="-4"/>
        </w:rPr>
        <w:t xml:space="preserve">3. Quy định tại: </w:t>
      </w:r>
      <w:r>
        <w:rPr>
          <w:color w:val="000000"/>
        </w:rPr>
        <w:t>Điểm b khoản 2 và khoản 3 Điều 10 của Nghị định số 123/2024/NĐ-CP ngày 04/10/2024 của Chính phủ về Quy định về xử phạt vi phạm hành chính trong lĩnh vực đất đai</w:t>
      </w:r>
      <w:r>
        <w:rPr>
          <w:color w:val="000000"/>
          <w:spacing w:val="-4"/>
        </w:rPr>
        <w:t>.</w:t>
      </w:r>
    </w:p>
    <w:p>
      <w:pPr>
        <w:shd w:val="clear" w:color="auto" w:fill="FFFFFF"/>
        <w:spacing w:before="60" w:after="60"/>
        <w:ind w:firstLine="561"/>
        <w:jc w:val="both"/>
        <w:rPr>
          <w:color w:val="000000"/>
        </w:rPr>
      </w:pPr>
      <w:r>
        <w:rPr>
          <w:color w:val="000000"/>
        </w:rPr>
        <w:t>4. Tình tiết tăng nặng: Không.</w:t>
      </w:r>
    </w:p>
    <w:p>
      <w:pPr>
        <w:shd w:val="clear" w:color="auto" w:fill="FFFFFF"/>
        <w:spacing w:before="60" w:after="60"/>
        <w:ind w:firstLine="561"/>
        <w:jc w:val="both"/>
      </w:pPr>
      <w:r>
        <w:rPr>
          <w:color w:val="000000"/>
        </w:rPr>
        <w:t>5. Tình tiết giảm nhẹ: Không</w:t>
      </w:r>
      <w:r>
        <w:t>.</w:t>
      </w:r>
    </w:p>
    <w:p>
      <w:pPr>
        <w:shd w:val="clear" w:color="auto" w:fill="FFFFFF"/>
        <w:spacing w:before="60" w:after="60"/>
        <w:ind w:firstLine="561"/>
        <w:jc w:val="both"/>
        <w:rPr>
          <w:iCs/>
        </w:rPr>
      </w:pPr>
      <w:r>
        <w:t xml:space="preserve">6. Bị áp dụng hình thức xử phạt, </w:t>
      </w:r>
      <w:r>
        <w:rPr>
          <w:iCs/>
        </w:rPr>
        <w:t>biện pháp khắc phục hậu quả như sau:</w:t>
      </w:r>
    </w:p>
    <w:p>
      <w:pPr>
        <w:snapToGrid w:val="0"/>
        <w:spacing w:before="60" w:after="60"/>
        <w:ind w:firstLine="567"/>
        <w:jc w:val="both"/>
        <w:rPr>
          <w:color w:val="000000"/>
        </w:rPr>
      </w:pPr>
      <w:r>
        <w:t xml:space="preserve">a) Hình thức xử phạt chính: </w:t>
      </w:r>
      <w:r>
        <w:rPr>
          <w:color w:val="000000"/>
        </w:rPr>
        <w:t xml:space="preserve">Phạt tiền. </w:t>
      </w:r>
    </w:p>
    <w:p>
      <w:pPr>
        <w:snapToGrid w:val="0"/>
        <w:spacing w:before="60" w:after="60"/>
        <w:ind w:firstLine="567"/>
        <w:jc w:val="both"/>
      </w:pPr>
      <w:r>
        <w:rPr>
          <w:b/>
        </w:rPr>
        <w:t>Cụ thể: 50.0</w:t>
      </w:r>
      <w:r>
        <w:rPr>
          <w:b/>
          <w:color w:val="000000"/>
        </w:rPr>
        <w:t>00.000 đồng</w:t>
      </w:r>
      <w:r>
        <w:rPr>
          <w:color w:val="000000"/>
        </w:rPr>
        <w:t xml:space="preserve"> </w:t>
      </w:r>
      <w:r>
        <w:rPr>
          <w:i/>
          <w:color w:val="000000"/>
        </w:rPr>
        <w:t>(Bằng chữ: Năm mươi triệu đồng)</w:t>
      </w:r>
      <w:r>
        <w:rPr>
          <w:color w:val="000000"/>
        </w:rPr>
        <w:t>.</w:t>
      </w:r>
    </w:p>
    <w:p>
      <w:pPr>
        <w:snapToGrid w:val="0"/>
        <w:spacing w:before="60" w:after="60"/>
        <w:ind w:firstLine="567"/>
        <w:jc w:val="both"/>
      </w:pPr>
      <w:r>
        <w:t xml:space="preserve">Mức phạt nêu trên là mức phạt trung bình trong khung hình phạt được được áp dụng </w:t>
      </w:r>
      <w:r>
        <w:rPr>
          <w:color w:val="000000"/>
        </w:rPr>
        <w:t>tại Điểm b khoản 2 Điều 10 của Nghị định số 123/2024/NĐ-CP ngày 04/10/2024 của Chính phủ về Quy định về xử phạt vi phạm hành chính trong lĩnh vực đất đai</w:t>
      </w:r>
      <w:r>
        <w:rPr>
          <w:i/>
          <w:color w:val="000000"/>
        </w:rPr>
        <w:t>“</w:t>
      </w:r>
      <w:r>
        <w:rPr>
          <w:i/>
        </w:rPr>
        <w:t>Phạt tiền từ 20.000.000 đồng đến 30.000.000 đối với diện tích đất từ 0,01 héc ta đến dưới 0,03 héc ta</w:t>
      </w:r>
      <w:r>
        <w:rPr>
          <w:i/>
          <w:color w:val="000000"/>
        </w:rPr>
        <w:t>”</w:t>
      </w:r>
      <w:r>
        <w:t xml:space="preserve">; </w:t>
      </w:r>
      <w:r>
        <w:rPr>
          <w:color w:val="000000"/>
        </w:rPr>
        <w:t xml:space="preserve">Áp dụng mức phạt quy định tại </w:t>
      </w:r>
      <w:r>
        <w:t xml:space="preserve">khoản 3 Điều 10 </w:t>
      </w:r>
      <w:r>
        <w:rPr>
          <w:color w:val="000000"/>
        </w:rPr>
        <w:t xml:space="preserve">của Nghị định số 123/2024/NĐ-CP ngày 04/10/2024 của Chính phủ về Quy định về xử phạt vi phạm hành chính trong lĩnh vực đất đai </w:t>
      </w:r>
      <w:r>
        <w:rPr>
          <w:i/>
        </w:rPr>
        <w:t>“Hành vi chuyển đất nông nghiệp không phải là đất trồng lúa, không phải là đất lâm nghiệp sang đất phi nông nghiệp thuộc địa giới hành chính của phường, thị trấn thì mức xử phạt bằng 02 lần mức phạt tương ứng quy định tại các khoản 1 và khoản 2 Điều này”</w:t>
      </w:r>
      <w:r>
        <w:t>.</w:t>
      </w:r>
    </w:p>
    <w:p>
      <w:pPr>
        <w:snapToGrid w:val="0"/>
        <w:spacing w:before="60" w:after="60"/>
        <w:ind w:firstLine="567"/>
        <w:jc w:val="both"/>
      </w:pPr>
      <w:r>
        <w:t>b) Hình thức phạt bổ sung: Không.</w:t>
      </w:r>
    </w:p>
    <w:p>
      <w:pPr>
        <w:tabs>
          <w:tab w:val="right" w:leader="dot" w:pos="8100"/>
        </w:tabs>
        <w:spacing w:before="60" w:after="60"/>
        <w:ind w:firstLine="567"/>
        <w:jc w:val="both"/>
        <w:rPr>
          <w:spacing w:val="-4"/>
        </w:rPr>
      </w:pPr>
      <w:r>
        <w:t xml:space="preserve">c) Biện pháp khắc phục hậu quả: </w:t>
      </w:r>
      <w:r>
        <w:rPr>
          <w:spacing w:val="-4"/>
        </w:rPr>
        <w:t xml:space="preserve">Tổng số tiền thu lợi phải nộp: Tổng số tiền thu lợi phải nộp: </w:t>
      </w:r>
      <w:r>
        <w:rPr>
          <w:b/>
        </w:rPr>
        <w:t>33.928.622 đồng</w:t>
      </w:r>
      <w:r>
        <w:t xml:space="preserve"> </w:t>
      </w:r>
      <w:r>
        <w:rPr>
          <w:i/>
        </w:rPr>
        <w:t>(Ba mươi ba triệu chín trăm hai mươi tám nghìn sáu trăm hai mươi hai đồng)</w:t>
      </w:r>
      <w:r>
        <w:t>.</w:t>
      </w:r>
    </w:p>
    <w:p>
      <w:pPr>
        <w:tabs>
          <w:tab w:val="right" w:leader="dot" w:pos="8100"/>
        </w:tabs>
        <w:spacing w:before="60" w:after="60"/>
        <w:ind w:firstLine="567"/>
        <w:jc w:val="both"/>
        <w:rPr>
          <w:spacing w:val="-6"/>
        </w:rPr>
      </w:pPr>
      <w:r>
        <w:t>- Bà Nguyễn Thị Loan tự ý xây dựng công trình nhà để ở trên diện tích đất trồng cây lâu năm, với diện tích 120,0 m</w:t>
      </w:r>
      <w:r>
        <w:rPr>
          <w:vertAlign w:val="superscript"/>
        </w:rPr>
        <w:t>2</w:t>
      </w:r>
      <w:r>
        <w:t xml:space="preserve">, thời điểm xây dựng công trình từ năm 1999. Vị trí vi phạm xác định thuộc trục đường Nếnh đi Bổ Đà/Đoạn từ cầu Trúc Sơn đến Km43+200 đê Tả Cầu, khu vực 3 </w:t>
      </w:r>
      <w:r>
        <w:rPr>
          <w:i/>
        </w:rPr>
        <w:t xml:space="preserve">(theo Nghị quyết định số 128/2025/NQ-HĐND ngày 26/12/2025 của HĐND tỉnh Bắc Ninh thì vị trí nếu trên có giá tiền là 1.800.000 đồng). </w:t>
      </w:r>
      <w:r>
        <w:t xml:space="preserve">Do vậy </w:t>
      </w:r>
      <w:r>
        <w:rPr>
          <w:lang w:val="vi-VN"/>
        </w:rPr>
        <w:t xml:space="preserve">Buộc </w:t>
      </w:r>
      <w:r>
        <w:t xml:space="preserve">bà Nguyễn Thị Loan phải </w:t>
      </w:r>
      <w:r>
        <w:rPr>
          <w:lang w:val="vi-VN"/>
        </w:rPr>
        <w:t>nộp lại số lợi bất hợp pháp có được do thực hiện hành vi vi phạm</w:t>
      </w:r>
      <w:r>
        <w:t xml:space="preserve"> hành chính, với số tiền là: </w:t>
      </w:r>
      <w:r>
        <w:rPr>
          <w:b/>
        </w:rPr>
        <w:t xml:space="preserve">33.928.622 </w:t>
      </w:r>
      <w:r>
        <w:rPr>
          <w:b/>
          <w:spacing w:val="-6"/>
        </w:rPr>
        <w:t>đồng</w:t>
      </w:r>
      <w:r>
        <w:rPr>
          <w:spacing w:val="-6"/>
        </w:rPr>
        <w:t xml:space="preserve"> </w:t>
      </w:r>
      <w:r>
        <w:rPr>
          <w:i/>
          <w:spacing w:val="-6"/>
        </w:rPr>
        <w:t>(Ba mươi ba triệu chín trăm hai mươi tám nghìn sáu trăm hai mươi hai đồng)</w:t>
      </w:r>
      <w:r>
        <w:rPr>
          <w:spacing w:val="-6"/>
        </w:rPr>
        <w:t>.</w:t>
      </w:r>
    </w:p>
    <w:p>
      <w:pPr>
        <w:tabs>
          <w:tab w:val="right" w:leader="dot" w:pos="8100"/>
        </w:tabs>
        <w:spacing w:before="60" w:after="60"/>
        <w:ind w:firstLine="567"/>
        <w:jc w:val="both"/>
        <w:rPr>
          <w:spacing w:val="-4"/>
        </w:rPr>
      </w:pPr>
      <w:r>
        <w:lastRenderedPageBreak/>
        <w:t xml:space="preserve">- </w:t>
      </w:r>
      <w:r>
        <w:rPr>
          <w:color w:val="000000"/>
        </w:rPr>
        <w:t>Do bà Nguyễn Thị Loan vi phạm từ thời điểm năm 1999 thuộc trường hợp đủ điều kiện cấp giấy chứng nhận quyền sử dụng dất theo quy định tại Điều 139 Luật Đất đai năm 2024, do vậy không buộc khôi phục lại tình trạng ban đầu của thửa đất như trước khi vi phạm</w:t>
      </w:r>
      <w:r>
        <w:t>.</w:t>
      </w:r>
    </w:p>
    <w:p>
      <w:pPr>
        <w:tabs>
          <w:tab w:val="right" w:leader="dot" w:pos="8100"/>
        </w:tabs>
        <w:spacing w:before="60" w:after="60"/>
        <w:ind w:firstLine="567"/>
        <w:jc w:val="both"/>
        <w:rPr>
          <w:color w:val="000000"/>
        </w:rPr>
      </w:pPr>
      <w:r>
        <w:rPr>
          <w:color w:val="000000"/>
        </w:rPr>
        <w:t xml:space="preserve">Thời hạn thực hiện biện pháp khắc phục hậu quả 10 ngày, kể từ ngày nhận được Quyết định này;   </w:t>
      </w:r>
    </w:p>
    <w:p>
      <w:pPr>
        <w:tabs>
          <w:tab w:val="right" w:leader="dot" w:pos="8100"/>
        </w:tabs>
        <w:spacing w:before="60" w:after="60"/>
        <w:ind w:firstLine="567"/>
        <w:jc w:val="both"/>
      </w:pPr>
      <w:r>
        <w:t>Mọi chi phí tổ chức thi hành biện pháp khắc phục hậu quả do bà Nguyễn Thị Loan bị xử phạt có tên tại Điều này chi trả.</w:t>
      </w:r>
    </w:p>
    <w:p>
      <w:pPr>
        <w:snapToGrid w:val="0"/>
        <w:spacing w:before="60" w:after="60"/>
        <w:ind w:firstLine="567"/>
        <w:jc w:val="both"/>
        <w:rPr>
          <w:iCs/>
        </w:rPr>
      </w:pPr>
      <w:r>
        <w:rPr>
          <w:b/>
          <w:bCs/>
          <w:iCs/>
        </w:rPr>
        <w:t>Điều 2.</w:t>
      </w:r>
      <w:r>
        <w:rPr>
          <w:iCs/>
        </w:rPr>
        <w:t xml:space="preserve"> </w:t>
      </w:r>
      <w:r>
        <w:rPr>
          <w:bCs/>
        </w:rPr>
        <w:t>Quyết định này có hiệu lực thi hành kể từ ngày ký.</w:t>
      </w:r>
    </w:p>
    <w:p>
      <w:pPr>
        <w:spacing w:before="60" w:after="60"/>
        <w:ind w:firstLine="567"/>
        <w:jc w:val="both"/>
        <w:rPr>
          <w:b/>
          <w:bCs/>
        </w:rPr>
      </w:pPr>
      <w:r>
        <w:rPr>
          <w:b/>
          <w:bCs/>
        </w:rPr>
        <w:t xml:space="preserve">Điều 3. </w:t>
      </w:r>
      <w:r>
        <w:t>Quyết định này được:</w:t>
      </w:r>
    </w:p>
    <w:p>
      <w:pPr>
        <w:spacing w:before="60" w:after="60"/>
        <w:ind w:firstLine="567"/>
        <w:jc w:val="both"/>
      </w:pPr>
      <w:r>
        <w:t>1. Giao cho bà Nguyễn Thị Loan là cá nhân bị xử phạt có tên tại Điều 1 Quyết định này để chấp hành.</w:t>
      </w:r>
    </w:p>
    <w:p>
      <w:pPr>
        <w:spacing w:before="60" w:after="60"/>
        <w:ind w:firstLine="567"/>
        <w:jc w:val="both"/>
      </w:pPr>
      <w:r>
        <w:t>Bà Nguyễn Thị Loan có tên tại Điều 1 phải nghiêm chỉnh chấp hành quyết định xử phạt này. Nếu quá thời hạn mà bà Nguyễn Thị Loan không tự nguyện chấp hành thì sẽ bị cưỡng chế thi hành theo quy định của pháp luật và cứ mỗi ngày chậm nộp tiền phạt thì cá nhân, tổ chức vi phạm phải nộp thêm 0,05% tính trên tổng số tiền phạt chưa nộp.</w:t>
      </w:r>
    </w:p>
    <w:p>
      <w:pPr>
        <w:spacing w:before="60" w:after="60"/>
        <w:ind w:firstLine="567"/>
        <w:jc w:val="both"/>
        <w:rPr>
          <w:spacing w:val="2"/>
        </w:rPr>
      </w:pPr>
      <w:r>
        <w:t>a) Bà Nguyễn Thị Loan bị xử phạt có tên tại Điều 1 phải</w:t>
      </w:r>
      <w:r>
        <w:rPr>
          <w:color w:val="000000" w:themeColor="text1"/>
        </w:rPr>
        <w:t xml:space="preserve"> nộp tiền phạt tại </w:t>
      </w:r>
      <w:r>
        <w:rPr>
          <w:spacing w:val="2"/>
          <w:lang w:val="vi-VN"/>
        </w:rPr>
        <w:t xml:space="preserve">Kho bạc Nhà nước </w:t>
      </w:r>
      <w:r>
        <w:rPr>
          <w:spacing w:val="2"/>
        </w:rPr>
        <w:t>khu vực VI hoặc nộp tiền phạt vào ngân hàng thương mại nơi Kho bạc Nhà nước khu vực VI mở tài khoản theo thông tin nộp ngân sách nhà nước như sau:</w:t>
      </w:r>
    </w:p>
    <w:p>
      <w:pPr>
        <w:spacing w:before="60" w:after="60"/>
        <w:ind w:firstLine="567"/>
        <w:jc w:val="both"/>
        <w:rPr>
          <w:spacing w:val="2"/>
        </w:rPr>
      </w:pPr>
      <w:r>
        <w:rPr>
          <w:spacing w:val="2"/>
        </w:rPr>
        <w:t xml:space="preserve">Tài khoản thu NSNN 7111; Mã cơ quan ra quyết định xử phạt </w:t>
      </w:r>
      <w:r>
        <w:rPr>
          <w:color w:val="081B3A"/>
          <w:spacing w:val="3"/>
          <w:shd w:val="clear" w:color="auto" w:fill="FFFFFF"/>
        </w:rPr>
        <w:t>1137799</w:t>
      </w:r>
      <w:r>
        <w:rPr>
          <w:spacing w:val="2"/>
        </w:rPr>
        <w:t xml:space="preserve">; Mã chương 831; Mã nội dung kinh tế </w:t>
      </w:r>
      <w:r>
        <w:rPr>
          <w:i/>
          <w:spacing w:val="2"/>
        </w:rPr>
        <w:t xml:space="preserve">(Mã tiểu mục) </w:t>
      </w:r>
      <w:r>
        <w:rPr>
          <w:spacing w:val="2"/>
        </w:rPr>
        <w:t>4299, trong thời hạn 20 ngày, kể từ ngày nhận được Quyết định này.</w:t>
      </w:r>
    </w:p>
    <w:p>
      <w:pPr>
        <w:spacing w:before="60" w:after="60"/>
        <w:ind w:firstLine="567"/>
        <w:jc w:val="both"/>
        <w:rPr>
          <w:lang w:val="vi-VN"/>
        </w:rPr>
      </w:pPr>
      <w:r>
        <w:rPr>
          <w:lang w:val="vi-VN"/>
        </w:rPr>
        <w:t>b) Bà Nguyễn Thị Loan có quyền khiếu nại hoặc khởi kiện hành chính đối với Quyết định này theo quy định của pháp luật.</w:t>
      </w:r>
    </w:p>
    <w:p>
      <w:pPr>
        <w:spacing w:before="60" w:after="60"/>
        <w:ind w:firstLine="567"/>
        <w:jc w:val="both"/>
        <w:rPr>
          <w:color w:val="000000" w:themeColor="text1"/>
          <w:highlight w:val="yellow"/>
        </w:rPr>
      </w:pPr>
      <w:r>
        <w:t xml:space="preserve">2. Gửi cho Kho bạc Nhà nước khu vực VI hoặc </w:t>
      </w:r>
      <w:r>
        <w:rPr>
          <w:color w:val="000000" w:themeColor="text1"/>
        </w:rPr>
        <w:t xml:space="preserve">các điểm thu của ngân hàng thương mại nơi Kho bạc Nhà nước </w:t>
      </w:r>
      <w:r>
        <w:rPr>
          <w:spacing w:val="2"/>
        </w:rPr>
        <w:t xml:space="preserve">khu vực VI </w:t>
      </w:r>
      <w:r>
        <w:rPr>
          <w:color w:val="000000" w:themeColor="text1"/>
        </w:rPr>
        <w:t>mở tài khoản để thu tiền phạt.</w:t>
      </w:r>
    </w:p>
    <w:p>
      <w:pPr>
        <w:spacing w:before="60" w:after="60"/>
        <w:ind w:firstLine="525"/>
        <w:jc w:val="both"/>
        <w:rPr>
          <w:lang w:val="vi-VN"/>
        </w:rPr>
      </w:pPr>
      <w:r>
        <w:t>3</w:t>
      </w:r>
      <w:r>
        <w:rPr>
          <w:lang w:val="vi-VN"/>
        </w:rPr>
        <w:t xml:space="preserve">. Gửi cho </w:t>
      </w:r>
      <w:r>
        <w:t>Phòng Kinh tế, Hạ tầng và Đô thị</w:t>
      </w:r>
      <w:r>
        <w:rPr>
          <w:lang w:val="vi-VN"/>
        </w:rPr>
        <w:t xml:space="preserve">: Để bàn giao Quyết định này cho bà Nguyễn Thị Loan; đồng thời chịu trách nhiệm </w:t>
      </w:r>
      <w:r>
        <w:t xml:space="preserve">tổ chức thực hiện </w:t>
      </w:r>
      <w:r>
        <w:rPr>
          <w:i/>
        </w:rPr>
        <w:t>(</w:t>
      </w:r>
      <w:r>
        <w:rPr>
          <w:i/>
          <w:lang w:val="vi-VN"/>
        </w:rPr>
        <w:t>giám sát, kiểm tra, đôn đốc và báo cáo việc thực hiện Quyết định này</w:t>
      </w:r>
      <w:r>
        <w:rPr>
          <w:i/>
        </w:rPr>
        <w:t>…)</w:t>
      </w:r>
      <w:r>
        <w:rPr>
          <w:lang w:val="vi-VN"/>
        </w:rPr>
        <w:t>.</w:t>
      </w:r>
    </w:p>
    <w:p>
      <w:pPr>
        <w:spacing w:before="60" w:after="60"/>
        <w:ind w:firstLine="525"/>
        <w:jc w:val="both"/>
        <w:rPr>
          <w:spacing w:val="2"/>
          <w:lang w:val="vi-VN"/>
        </w:rPr>
      </w:pPr>
      <w:r>
        <w:rPr>
          <w:spacing w:val="2"/>
          <w:lang w:val="vi-VN"/>
        </w:rPr>
        <w:t xml:space="preserve">3. Gửi cho các cơ quan, đơn vị: Văn phòng HĐND và UBND </w:t>
      </w:r>
      <w:r>
        <w:rPr>
          <w:spacing w:val="2"/>
        </w:rPr>
        <w:t>phường</w:t>
      </w:r>
      <w:r>
        <w:rPr>
          <w:spacing w:val="2"/>
          <w:lang w:val="vi-VN"/>
        </w:rPr>
        <w:t xml:space="preserve">, Phòng </w:t>
      </w:r>
      <w:r>
        <w:rPr>
          <w:spacing w:val="2"/>
        </w:rPr>
        <w:t>Kinh tế, Hạ tầng và Đô thị</w:t>
      </w:r>
      <w:r>
        <w:rPr>
          <w:spacing w:val="2"/>
          <w:lang w:val="vi-VN"/>
        </w:rPr>
        <w:t xml:space="preserve">, </w:t>
      </w:r>
      <w:r>
        <w:rPr>
          <w:spacing w:val="2"/>
        </w:rPr>
        <w:t xml:space="preserve">Phòng Văn Hóa, Tổ dân phố Thần Chúc, </w:t>
      </w:r>
      <w:r>
        <w:rPr>
          <w:spacing w:val="2"/>
          <w:lang w:val="vi-VN"/>
        </w:rPr>
        <w:t xml:space="preserve">Kho bạc Nhà nước </w:t>
      </w:r>
      <w:r>
        <w:rPr>
          <w:spacing w:val="2"/>
        </w:rPr>
        <w:t>khu vực VI</w:t>
      </w:r>
      <w:r>
        <w:rPr>
          <w:spacing w:val="2"/>
          <w:lang w:val="vi-VN"/>
        </w:rPr>
        <w:t xml:space="preserve"> để biết và phối hợp thực hiện./.</w:t>
      </w:r>
    </w:p>
    <w:p>
      <w:pPr>
        <w:spacing w:before="100" w:after="40"/>
        <w:ind w:firstLine="525"/>
        <w:jc w:val="both"/>
        <w:rPr>
          <w:sz w:val="2"/>
          <w:lang w:val="vi-VN"/>
        </w:rPr>
      </w:pPr>
    </w:p>
    <w:p>
      <w:pPr>
        <w:spacing w:before="120"/>
        <w:ind w:firstLine="525"/>
        <w:jc w:val="both"/>
        <w:rPr>
          <w:sz w:val="2"/>
          <w:lang w:val="vi-VN"/>
        </w:rPr>
      </w:pPr>
    </w:p>
    <w:tbl>
      <w:tblPr>
        <w:tblW w:w="9356" w:type="dxa"/>
        <w:tblInd w:w="108" w:type="dxa"/>
        <w:tblLook w:val="01E0" w:firstRow="1" w:lastRow="1" w:firstColumn="1" w:lastColumn="1" w:noHBand="0" w:noVBand="0"/>
      </w:tblPr>
      <w:tblGrid>
        <w:gridCol w:w="4395"/>
        <w:gridCol w:w="4961"/>
      </w:tblGrid>
      <w:tr>
        <w:trPr>
          <w:trHeight w:val="1529"/>
        </w:trPr>
        <w:tc>
          <w:tcPr>
            <w:tcW w:w="4395" w:type="dxa"/>
          </w:tcPr>
          <w:p>
            <w:pPr>
              <w:rPr>
                <w:b/>
                <w:i/>
                <w:sz w:val="24"/>
                <w:szCs w:val="24"/>
                <w:lang w:val="vi-VN"/>
              </w:rPr>
            </w:pPr>
            <w:r>
              <w:rPr>
                <w:b/>
                <w:i/>
                <w:sz w:val="24"/>
                <w:szCs w:val="24"/>
                <w:lang w:val="vi-VN"/>
              </w:rPr>
              <w:t>Nơi nhận:</w:t>
            </w:r>
          </w:p>
          <w:p>
            <w:pPr>
              <w:rPr>
                <w:sz w:val="22"/>
                <w:szCs w:val="22"/>
                <w:lang w:val="vi-VN"/>
              </w:rPr>
            </w:pPr>
            <w:r>
              <w:rPr>
                <w:sz w:val="22"/>
                <w:szCs w:val="22"/>
                <w:lang w:val="vi-VN"/>
              </w:rPr>
              <w:t>- Như Điều 3;</w:t>
            </w:r>
          </w:p>
          <w:p>
            <w:pPr>
              <w:rPr>
                <w:sz w:val="22"/>
                <w:szCs w:val="22"/>
                <w:lang w:val="vi-VN"/>
              </w:rPr>
            </w:pPr>
            <w:r>
              <w:rPr>
                <w:sz w:val="22"/>
                <w:szCs w:val="22"/>
                <w:lang w:val="vi-VN"/>
              </w:rPr>
              <w:t>- Chủ tịch, các PCT UBND phường;</w:t>
            </w:r>
          </w:p>
          <w:p>
            <w:pPr>
              <w:rPr>
                <w:sz w:val="22"/>
                <w:szCs w:val="22"/>
              </w:rPr>
            </w:pPr>
            <w:r>
              <w:rPr>
                <w:sz w:val="22"/>
                <w:szCs w:val="22"/>
                <w:lang w:val="vi-VN"/>
              </w:rPr>
              <w:t xml:space="preserve">- </w:t>
            </w:r>
            <w:r>
              <w:rPr>
                <w:sz w:val="22"/>
                <w:szCs w:val="22"/>
              </w:rPr>
              <w:t xml:space="preserve">Phòng Văn Hóa - Xã Hội </w:t>
            </w:r>
            <w:r>
              <w:rPr>
                <w:i/>
                <w:sz w:val="22"/>
                <w:szCs w:val="22"/>
              </w:rPr>
              <w:t>(đăng tải công khai trên hệ thống thông tin điện tử)</w:t>
            </w:r>
            <w:r>
              <w:rPr>
                <w:sz w:val="22"/>
                <w:szCs w:val="22"/>
              </w:rPr>
              <w:t>;</w:t>
            </w:r>
          </w:p>
          <w:p>
            <w:pPr>
              <w:rPr>
                <w:sz w:val="22"/>
                <w:szCs w:val="22"/>
                <w:lang w:val="vi-VN"/>
              </w:rPr>
            </w:pPr>
            <w:r>
              <w:rPr>
                <w:sz w:val="22"/>
                <w:szCs w:val="22"/>
                <w:lang w:val="vi-VN"/>
              </w:rPr>
              <w:t xml:space="preserve">- </w:t>
            </w:r>
            <w:r>
              <w:rPr>
                <w:sz w:val="22"/>
                <w:szCs w:val="22"/>
              </w:rPr>
              <w:t>Phòng Kinh tế, Hạ tầng và Đô thị</w:t>
            </w:r>
            <w:r>
              <w:rPr>
                <w:sz w:val="22"/>
                <w:szCs w:val="22"/>
                <w:lang w:val="vi-VN"/>
              </w:rPr>
              <w:t xml:space="preserve"> (02 bản);</w:t>
            </w:r>
          </w:p>
          <w:p>
            <w:pPr>
              <w:rPr>
                <w:sz w:val="22"/>
                <w:szCs w:val="22"/>
                <w:lang w:val="vi-VN"/>
              </w:rPr>
            </w:pPr>
            <w:r>
              <w:rPr>
                <w:sz w:val="22"/>
                <w:szCs w:val="22"/>
                <w:lang w:val="vi-VN"/>
              </w:rPr>
              <w:t>- LĐVP, CVTH;</w:t>
            </w:r>
          </w:p>
          <w:p>
            <w:pPr>
              <w:rPr>
                <w:lang w:val="vi-VN"/>
              </w:rPr>
            </w:pPr>
            <w:r>
              <w:rPr>
                <w:sz w:val="22"/>
                <w:szCs w:val="22"/>
                <w:lang w:val="vi-VN"/>
              </w:rPr>
              <w:t>- Lưu: Hồ sơ, VT.</w:t>
            </w:r>
            <w:r>
              <w:rPr>
                <w:lang w:val="vi-VN"/>
              </w:rPr>
              <w:t xml:space="preserve"> </w:t>
            </w:r>
          </w:p>
          <w:p>
            <w:pPr>
              <w:rPr>
                <w:lang w:val="vi-VN"/>
              </w:rPr>
            </w:pPr>
          </w:p>
        </w:tc>
        <w:tc>
          <w:tcPr>
            <w:tcW w:w="4961" w:type="dxa"/>
          </w:tcPr>
          <w:p>
            <w:pPr>
              <w:jc w:val="center"/>
              <w:rPr>
                <w:b/>
              </w:rPr>
            </w:pPr>
            <w:r>
              <w:rPr>
                <w:b/>
              </w:rPr>
              <w:t>CHỦ TỊCH</w:t>
            </w:r>
          </w:p>
          <w:p>
            <w:pPr>
              <w:spacing w:line="320" w:lineRule="exact"/>
              <w:jc w:val="center"/>
              <w:rPr>
                <w:b/>
                <w:lang w:val="vi-VN"/>
              </w:rPr>
            </w:pPr>
          </w:p>
          <w:p>
            <w:pPr>
              <w:spacing w:line="320" w:lineRule="exact"/>
              <w:jc w:val="center"/>
              <w:rPr>
                <w:b/>
                <w:lang w:val="vi-VN"/>
              </w:rPr>
            </w:pPr>
          </w:p>
          <w:p>
            <w:pPr>
              <w:spacing w:line="320" w:lineRule="exact"/>
              <w:jc w:val="center"/>
              <w:rPr>
                <w:b/>
                <w:lang w:val="vi-VN"/>
              </w:rPr>
            </w:pPr>
          </w:p>
          <w:p>
            <w:pPr>
              <w:spacing w:line="320" w:lineRule="exact"/>
              <w:jc w:val="center"/>
              <w:rPr>
                <w:b/>
              </w:rPr>
            </w:pPr>
            <w:bookmarkStart w:id="1" w:name="_GoBack"/>
            <w:bookmarkEnd w:id="1"/>
          </w:p>
          <w:p>
            <w:pPr>
              <w:spacing w:line="320" w:lineRule="exact"/>
              <w:jc w:val="center"/>
              <w:rPr>
                <w:b/>
              </w:rPr>
            </w:pPr>
          </w:p>
          <w:p>
            <w:pPr>
              <w:spacing w:line="320" w:lineRule="exact"/>
              <w:jc w:val="center"/>
              <w:rPr>
                <w:b/>
                <w:lang w:val="nl-NL"/>
              </w:rPr>
            </w:pPr>
            <w:r>
              <w:rPr>
                <w:b/>
                <w:lang w:val="nl-NL"/>
              </w:rPr>
              <w:t>Nguyễn Văn Tình</w:t>
            </w:r>
          </w:p>
        </w:tc>
      </w:tr>
    </w:tbl>
    <w:p>
      <w:pPr>
        <w:spacing w:before="120" w:line="340" w:lineRule="atLeast"/>
      </w:pPr>
    </w:p>
    <w:p>
      <w:pPr>
        <w:spacing w:before="120" w:line="340" w:lineRule="atLeast"/>
        <w:rPr>
          <w:lang w:val="vi-VN"/>
        </w:rPr>
      </w:pPr>
      <w:r>
        <w:lastRenderedPageBreak/>
        <w:t>Quyết định đã giao trực tiếp cho ông/bà …………</w:t>
      </w:r>
      <w:r>
        <w:rPr>
          <w:lang w:val="vi-VN"/>
        </w:rPr>
        <w:t>.................</w:t>
      </w:r>
      <w:r>
        <w:t>………. bị xử phạt vào hồi.</w:t>
      </w:r>
      <w:r>
        <w:rPr>
          <w:lang w:val="vi-VN"/>
        </w:rPr>
        <w:t>...</w:t>
      </w:r>
      <w:r>
        <w:t>... giờ ..</w:t>
      </w:r>
      <w:r>
        <w:rPr>
          <w:lang w:val="vi-VN"/>
        </w:rPr>
        <w:t>...</w:t>
      </w:r>
      <w:r>
        <w:t>phút, ngày……/…./2026</w:t>
      </w:r>
    </w:p>
    <w:p>
      <w:pPr>
        <w:jc w:val="right"/>
        <w:rPr>
          <w:lang w:val="vi-VN"/>
        </w:rPr>
      </w:pPr>
      <w:r>
        <w:rPr>
          <w:lang w:val="vi-VN"/>
        </w:rPr>
        <w:t xml:space="preserve">NGƯỜI NHẬN QUYẾT ĐỊNH </w:t>
      </w:r>
    </w:p>
    <w:p>
      <w:pPr>
        <w:jc w:val="center"/>
        <w:rPr>
          <w:b/>
          <w:lang w:val="vi-VN"/>
        </w:rPr>
      </w:pPr>
      <w:r>
        <w:rPr>
          <w:lang w:val="vi-VN"/>
        </w:rPr>
        <w:t xml:space="preserve">                                                                             (Ký, ghi rõ họ và tên)</w:t>
      </w:r>
    </w:p>
    <w:sectPr>
      <w:pgSz w:w="11907" w:h="16840" w:code="9"/>
      <w:pgMar w:top="1021" w:right="851" w:bottom="1021" w:left="1701" w:header="289" w:footer="28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7964"/>
    <w:multiLevelType w:val="hybridMultilevel"/>
    <w:tmpl w:val="754676B4"/>
    <w:lvl w:ilvl="0" w:tplc="AE765FE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CEC3E89"/>
    <w:multiLevelType w:val="hybridMultilevel"/>
    <w:tmpl w:val="78C82F7C"/>
    <w:lvl w:ilvl="0" w:tplc="2C5AEF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A664211"/>
    <w:multiLevelType w:val="hybridMultilevel"/>
    <w:tmpl w:val="065C33B4"/>
    <w:lvl w:ilvl="0" w:tplc="A66E48D8">
      <w:start w:val="1"/>
      <w:numFmt w:val="decimal"/>
      <w:lvlText w:val="%1."/>
      <w:lvlJc w:val="left"/>
      <w:pPr>
        <w:ind w:left="930" w:hanging="360"/>
      </w:pPr>
      <w:rPr>
        <w:rFonts w:hint="default"/>
        <w:b/>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3">
    <w:nsid w:val="6C387E3F"/>
    <w:multiLevelType w:val="hybridMultilevel"/>
    <w:tmpl w:val="22E63526"/>
    <w:lvl w:ilvl="0" w:tplc="777AF9E4">
      <w:start w:val="1"/>
      <w:numFmt w:val="decimal"/>
      <w:lvlText w:val="%1."/>
      <w:lvlJc w:val="left"/>
      <w:pPr>
        <w:ind w:left="930" w:hanging="360"/>
      </w:pPr>
      <w:rPr>
        <w:rFonts w:hint="default"/>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pPr>
      <w:overflowPunct w:val="0"/>
      <w:autoSpaceDE w:val="0"/>
      <w:autoSpaceDN w:val="0"/>
      <w:adjustRightInd w:val="0"/>
      <w:spacing w:after="120" w:line="240" w:lineRule="auto"/>
      <w:ind w:firstLine="567"/>
      <w:jc w:val="both"/>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eastAsia="Times New Roman" w:cs="Times New Roman"/>
      <w:szCs w:val="28"/>
    </w:rPr>
  </w:style>
  <w:style w:type="paragraph" w:customStyle="1" w:styleId="Char">
    <w:name w:val="Char"/>
    <w:basedOn w:val="Normal"/>
    <w:semiHidden/>
    <w:pPr>
      <w:spacing w:after="160" w:line="240" w:lineRule="exact"/>
    </w:pPr>
    <w:rPr>
      <w:rFonts w:ascii="Arial" w:hAnsi="Arial"/>
      <w:sz w:val="22"/>
      <w:szCs w:val="22"/>
    </w:rPr>
  </w:style>
  <w:style w:type="paragraph" w:customStyle="1" w:styleId="Char0">
    <w:name w:val="Char"/>
    <w:basedOn w:val="Normal"/>
    <w:semiHidden/>
    <w:pPr>
      <w:spacing w:after="160" w:line="240" w:lineRule="exact"/>
    </w:pPr>
    <w:rPr>
      <w:rFonts w:ascii="Arial" w:hAnsi="Arial"/>
      <w:sz w:val="22"/>
      <w:szCs w:val="22"/>
    </w:rPr>
  </w:style>
  <w:style w:type="paragraph" w:customStyle="1" w:styleId="Char1">
    <w:name w:val="Char"/>
    <w:basedOn w:val="Normal"/>
    <w:semiHidden/>
    <w:pPr>
      <w:spacing w:after="160" w:line="240" w:lineRule="exact"/>
    </w:pPr>
    <w:rPr>
      <w:rFonts w:ascii="Arial" w:hAnsi="Arial"/>
      <w:sz w:val="22"/>
      <w:szCs w:val="22"/>
    </w:rPr>
  </w:style>
  <w:style w:type="paragraph" w:customStyle="1" w:styleId="Char2">
    <w:name w:val="Char"/>
    <w:basedOn w:val="Normal"/>
    <w:semiHidden/>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pPr>
      <w:overflowPunct w:val="0"/>
      <w:autoSpaceDE w:val="0"/>
      <w:autoSpaceDN w:val="0"/>
      <w:adjustRightInd w:val="0"/>
      <w:spacing w:after="120" w:line="240" w:lineRule="auto"/>
      <w:ind w:firstLine="567"/>
      <w:jc w:val="both"/>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eastAsia="Times New Roman" w:cs="Times New Roman"/>
      <w:szCs w:val="28"/>
    </w:rPr>
  </w:style>
  <w:style w:type="paragraph" w:customStyle="1" w:styleId="Char">
    <w:name w:val="Char"/>
    <w:basedOn w:val="Normal"/>
    <w:semiHidden/>
    <w:pPr>
      <w:spacing w:after="160" w:line="240" w:lineRule="exact"/>
    </w:pPr>
    <w:rPr>
      <w:rFonts w:ascii="Arial" w:hAnsi="Arial"/>
      <w:sz w:val="22"/>
      <w:szCs w:val="22"/>
    </w:rPr>
  </w:style>
  <w:style w:type="paragraph" w:customStyle="1" w:styleId="Char0">
    <w:name w:val="Char"/>
    <w:basedOn w:val="Normal"/>
    <w:semiHidden/>
    <w:pPr>
      <w:spacing w:after="160" w:line="240" w:lineRule="exact"/>
    </w:pPr>
    <w:rPr>
      <w:rFonts w:ascii="Arial" w:hAnsi="Arial"/>
      <w:sz w:val="22"/>
      <w:szCs w:val="22"/>
    </w:rPr>
  </w:style>
  <w:style w:type="paragraph" w:customStyle="1" w:styleId="Char1">
    <w:name w:val="Char"/>
    <w:basedOn w:val="Normal"/>
    <w:semiHidden/>
    <w:pPr>
      <w:spacing w:after="160" w:line="240" w:lineRule="exact"/>
    </w:pPr>
    <w:rPr>
      <w:rFonts w:ascii="Arial" w:hAnsi="Arial"/>
      <w:sz w:val="22"/>
      <w:szCs w:val="22"/>
    </w:rPr>
  </w:style>
  <w:style w:type="paragraph" w:customStyle="1" w:styleId="Char2">
    <w:name w:val="Char"/>
    <w:basedOn w:val="Normal"/>
    <w:semiHidden/>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1B14E-AA2E-4A61-8F03-F0076782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2020-08-31T00:29:00Z</cp:lastPrinted>
  <dcterms:created xsi:type="dcterms:W3CDTF">2025-12-19T01:17:00Z</dcterms:created>
  <dcterms:modified xsi:type="dcterms:W3CDTF">2026-06-09T02:06:00Z</dcterms:modified>
</cp:coreProperties>
</file>